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826CC" w14:textId="0FEF25DC" w:rsidR="00B04CFC" w:rsidRPr="008659E3" w:rsidRDefault="00B04CFC" w:rsidP="0086361B">
      <w:pPr>
        <w:widowControl w:val="0"/>
        <w:suppressAutoHyphens/>
        <w:spacing w:before="120" w:after="240" w:line="360" w:lineRule="auto"/>
        <w:jc w:val="center"/>
        <w:rPr>
          <w:rFonts w:asciiTheme="majorHAnsi" w:hAnsiTheme="majorHAnsi" w:cstheme="majorHAnsi"/>
          <w:b/>
          <w:bCs/>
        </w:rPr>
      </w:pPr>
      <w:r w:rsidRPr="008659E3">
        <w:rPr>
          <w:rFonts w:asciiTheme="majorHAnsi" w:hAnsiTheme="majorHAnsi" w:cstheme="majorHAnsi"/>
          <w:b/>
          <w:bCs/>
        </w:rPr>
        <w:t>Hotărârea Adunării Generale Ordinare a Acționarilor</w:t>
      </w:r>
    </w:p>
    <w:p w14:paraId="02D5438B" w14:textId="77777777" w:rsidR="00B04CFC" w:rsidRPr="008659E3" w:rsidRDefault="00B04CFC" w:rsidP="0086361B">
      <w:pPr>
        <w:widowControl w:val="0"/>
        <w:suppressAutoHyphens/>
        <w:spacing w:before="120" w:after="240" w:line="360" w:lineRule="auto"/>
        <w:jc w:val="center"/>
        <w:rPr>
          <w:rFonts w:asciiTheme="majorHAnsi" w:hAnsiTheme="majorHAnsi" w:cstheme="majorHAnsi"/>
          <w:b/>
          <w:bCs/>
        </w:rPr>
      </w:pPr>
      <w:r w:rsidRPr="008659E3">
        <w:rPr>
          <w:rFonts w:asciiTheme="majorHAnsi" w:hAnsiTheme="majorHAnsi" w:cstheme="majorHAnsi"/>
          <w:b/>
          <w:bCs/>
        </w:rPr>
        <w:t xml:space="preserve">AIR CLAIM S.A. </w:t>
      </w:r>
    </w:p>
    <w:p w14:paraId="4A8CE065" w14:textId="043AE071" w:rsidR="00B04CFC" w:rsidRPr="008659E3" w:rsidRDefault="00B04CFC" w:rsidP="0086361B">
      <w:pPr>
        <w:widowControl w:val="0"/>
        <w:suppressAutoHyphens/>
        <w:spacing w:before="120" w:after="240" w:line="360" w:lineRule="auto"/>
        <w:jc w:val="center"/>
        <w:rPr>
          <w:rFonts w:asciiTheme="majorHAnsi" w:hAnsiTheme="majorHAnsi" w:cstheme="majorHAnsi"/>
          <w:b/>
          <w:bCs/>
        </w:rPr>
      </w:pPr>
      <w:r w:rsidRPr="008659E3">
        <w:rPr>
          <w:rFonts w:asciiTheme="majorHAnsi" w:hAnsiTheme="majorHAnsi" w:cstheme="majorHAnsi"/>
          <w:b/>
          <w:bCs/>
        </w:rPr>
        <w:t xml:space="preserve">Nr. </w:t>
      </w:r>
      <w:r w:rsidRPr="008659E3">
        <w:rPr>
          <w:rFonts w:asciiTheme="majorHAnsi" w:hAnsiTheme="majorHAnsi" w:cstheme="majorHAnsi"/>
        </w:rPr>
        <w:t>[...]</w:t>
      </w:r>
      <w:r w:rsidRPr="008659E3">
        <w:rPr>
          <w:rFonts w:asciiTheme="majorHAnsi" w:hAnsiTheme="majorHAnsi" w:cstheme="majorHAnsi"/>
          <w:b/>
          <w:bCs/>
        </w:rPr>
        <w:t xml:space="preserve"> din data de 1</w:t>
      </w:r>
      <w:r w:rsidR="00F535ED" w:rsidRPr="008659E3">
        <w:rPr>
          <w:rFonts w:asciiTheme="majorHAnsi" w:hAnsiTheme="majorHAnsi" w:cstheme="majorHAnsi"/>
          <w:b/>
          <w:bCs/>
        </w:rPr>
        <w:t>6</w:t>
      </w:r>
      <w:r w:rsidRPr="008659E3">
        <w:rPr>
          <w:rFonts w:asciiTheme="majorHAnsi" w:hAnsiTheme="majorHAnsi" w:cstheme="majorHAnsi"/>
          <w:b/>
          <w:bCs/>
        </w:rPr>
        <w:t xml:space="preserve"> aprilie 202</w:t>
      </w:r>
      <w:r w:rsidR="00F535ED" w:rsidRPr="008659E3">
        <w:rPr>
          <w:rFonts w:asciiTheme="majorHAnsi" w:hAnsiTheme="majorHAnsi" w:cstheme="majorHAnsi"/>
          <w:b/>
          <w:bCs/>
        </w:rPr>
        <w:t>4</w:t>
      </w:r>
    </w:p>
    <w:p w14:paraId="198965AD" w14:textId="77777777" w:rsidR="00B04CFC" w:rsidRPr="008659E3" w:rsidRDefault="00B04CFC" w:rsidP="0086361B">
      <w:pPr>
        <w:widowControl w:val="0"/>
        <w:suppressAutoHyphens/>
        <w:spacing w:before="120" w:after="240" w:line="360" w:lineRule="auto"/>
        <w:rPr>
          <w:rFonts w:asciiTheme="majorHAnsi" w:hAnsiTheme="majorHAnsi" w:cstheme="majorHAnsi"/>
        </w:rPr>
      </w:pPr>
    </w:p>
    <w:p w14:paraId="470E664E" w14:textId="1192DCA9" w:rsidR="00B04CFC" w:rsidRPr="008659E3" w:rsidRDefault="00B04CFC"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rPr>
        <w:t>Adunarea Generală Ordinară a Acționarilor (</w:t>
      </w:r>
      <w:r w:rsidRPr="008659E3">
        <w:rPr>
          <w:rFonts w:asciiTheme="majorHAnsi" w:hAnsiTheme="majorHAnsi" w:cstheme="majorHAnsi"/>
          <w:b/>
          <w:bCs/>
        </w:rPr>
        <w:t>„AGOA”</w:t>
      </w:r>
      <w:r w:rsidRPr="008659E3">
        <w:rPr>
          <w:rFonts w:asciiTheme="majorHAnsi" w:hAnsiTheme="majorHAnsi" w:cstheme="majorHAnsi"/>
        </w:rPr>
        <w:t xml:space="preserve">) </w:t>
      </w:r>
      <w:r w:rsidR="00293DDA" w:rsidRPr="008659E3">
        <w:rPr>
          <w:rFonts w:asciiTheme="majorHAnsi" w:hAnsiTheme="majorHAnsi" w:cstheme="majorHAnsi"/>
          <w:b/>
          <w:bCs/>
        </w:rPr>
        <w:t>AIR CLAIM S.A.</w:t>
      </w:r>
      <w:r w:rsidR="00293DDA" w:rsidRPr="008659E3">
        <w:rPr>
          <w:rFonts w:asciiTheme="majorHAnsi" w:hAnsiTheme="majorHAnsi" w:cstheme="majorHAnsi"/>
        </w:rPr>
        <w:t>, cu sediul social în Bucureşti, Strada Baicului, Nr. 82, Cladirea Noua, Partea Dreapta, Etaj 2, Sectorul 2, România, având nr. de ordine în Registrul Comerțului J40/16631/2023, Identificator Unic la Nivel European (EUID) ROONRC.J40/16631/2023, CUI 39395976</w:t>
      </w:r>
      <w:r w:rsidRPr="008659E3">
        <w:rPr>
          <w:rFonts w:asciiTheme="majorHAnsi" w:hAnsiTheme="majorHAnsi" w:cstheme="majorHAnsi"/>
        </w:rPr>
        <w:t>, având capitalul social subscris şi vărsat în cuantum de 440.000 RON, împărțit în 4.400.000 acțiuni ordinare nominative, având o valoare nominală de 0,1 RON fiecare („</w:t>
      </w:r>
      <w:r w:rsidRPr="008659E3">
        <w:rPr>
          <w:rFonts w:asciiTheme="majorHAnsi" w:hAnsiTheme="majorHAnsi" w:cstheme="majorHAnsi"/>
          <w:b/>
        </w:rPr>
        <w:t>Societatea</w:t>
      </w:r>
      <w:r w:rsidRPr="008659E3">
        <w:rPr>
          <w:rFonts w:asciiTheme="majorHAnsi" w:hAnsiTheme="majorHAnsi" w:cstheme="majorHAnsi"/>
        </w:rPr>
        <w:t>” sau „</w:t>
      </w:r>
      <w:r w:rsidRPr="008659E3">
        <w:rPr>
          <w:rFonts w:asciiTheme="majorHAnsi" w:hAnsiTheme="majorHAnsi" w:cstheme="majorHAnsi"/>
          <w:b/>
          <w:bCs/>
        </w:rPr>
        <w:t>AIR CLAIM S.A.</w:t>
      </w:r>
      <w:r w:rsidRPr="008659E3">
        <w:rPr>
          <w:rFonts w:asciiTheme="majorHAnsi" w:hAnsiTheme="majorHAnsi" w:cstheme="majorHAnsi"/>
        </w:rPr>
        <w:t xml:space="preserve">”), </w:t>
      </w:r>
    </w:p>
    <w:p w14:paraId="0E778A9E" w14:textId="2DDB01F2" w:rsidR="00B04CFC" w:rsidRPr="008659E3" w:rsidRDefault="000D7122"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rPr>
        <w:t>convocată în conformitate cu prevederile legale și prevederile actului constitutiv al Societății, potrivit convocatorului pentru AGEA publicat în Monitorul Oficial al României, Partea a IV-a, nr. [</w:t>
      </w:r>
      <w:r w:rsidRPr="008659E3">
        <w:rPr>
          <w:rFonts w:asciiTheme="majorHAnsi" w:hAnsiTheme="majorHAnsi" w:cstheme="majorHAnsi"/>
          <w:highlight w:val="yellow"/>
        </w:rPr>
        <w:t>...</w:t>
      </w:r>
      <w:r w:rsidRPr="008659E3">
        <w:rPr>
          <w:rFonts w:asciiTheme="majorHAnsi" w:hAnsiTheme="majorHAnsi" w:cstheme="majorHAnsi"/>
        </w:rPr>
        <w:t>] din [</w:t>
      </w:r>
      <w:r w:rsidRPr="008659E3">
        <w:rPr>
          <w:rFonts w:asciiTheme="majorHAnsi" w:hAnsiTheme="majorHAnsi" w:cstheme="majorHAnsi"/>
          <w:highlight w:val="yellow"/>
        </w:rPr>
        <w:t>...</w:t>
      </w:r>
      <w:r w:rsidRPr="008659E3">
        <w:rPr>
          <w:rFonts w:asciiTheme="majorHAnsi" w:hAnsiTheme="majorHAnsi" w:cstheme="majorHAnsi"/>
        </w:rPr>
        <w:t>] și în ziarul “Curierul Național” nr. 9071 din data de 12 martie 2024,</w:t>
      </w:r>
    </w:p>
    <w:p w14:paraId="1B0D7F6E" w14:textId="04F2568E" w:rsidR="00B04CFC" w:rsidRPr="008659E3" w:rsidRDefault="00B04CFC"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rPr>
        <w:t>s-a întrunit în mod legal la data de 1</w:t>
      </w:r>
      <w:r w:rsidR="00EC5508" w:rsidRPr="008659E3">
        <w:rPr>
          <w:rFonts w:asciiTheme="majorHAnsi" w:hAnsiTheme="majorHAnsi" w:cstheme="majorHAnsi"/>
        </w:rPr>
        <w:t>6</w:t>
      </w:r>
      <w:r w:rsidRPr="008659E3">
        <w:rPr>
          <w:rFonts w:asciiTheme="majorHAnsi" w:hAnsiTheme="majorHAnsi" w:cstheme="majorHAnsi"/>
        </w:rPr>
        <w:t xml:space="preserve"> aprilie 202</w:t>
      </w:r>
      <w:r w:rsidR="00EC5508" w:rsidRPr="008659E3">
        <w:rPr>
          <w:rFonts w:asciiTheme="majorHAnsi" w:hAnsiTheme="majorHAnsi" w:cstheme="majorHAnsi"/>
        </w:rPr>
        <w:t>4</w:t>
      </w:r>
      <w:r w:rsidRPr="008659E3">
        <w:rPr>
          <w:rFonts w:asciiTheme="majorHAnsi" w:hAnsiTheme="majorHAnsi" w:cstheme="majorHAnsi"/>
        </w:rPr>
        <w:t xml:space="preserve"> începând cu ora 1</w:t>
      </w:r>
      <w:r w:rsidR="00701644" w:rsidRPr="008659E3">
        <w:rPr>
          <w:rFonts w:asciiTheme="majorHAnsi" w:hAnsiTheme="majorHAnsi" w:cstheme="majorHAnsi"/>
        </w:rPr>
        <w:t>0</w:t>
      </w:r>
      <w:r w:rsidRPr="008659E3">
        <w:rPr>
          <w:rFonts w:asciiTheme="majorHAnsi" w:hAnsiTheme="majorHAnsi" w:cstheme="majorHAnsi"/>
        </w:rPr>
        <w:t xml:space="preserve">:00 (ora României), </w:t>
      </w:r>
      <w:r w:rsidR="00307732" w:rsidRPr="008659E3">
        <w:rPr>
          <w:rFonts w:asciiTheme="majorHAnsi" w:hAnsiTheme="majorHAnsi" w:cstheme="majorHAnsi"/>
        </w:rPr>
        <w:t>la Courtyard by Marriott Bucharest Floreasca, sala Zeta, situat in București, Bulevardul Dimitrie Pompeiu 2 A, Sector 2</w:t>
      </w:r>
      <w:r w:rsidRPr="008659E3">
        <w:rPr>
          <w:rFonts w:asciiTheme="majorHAnsi" w:hAnsiTheme="majorHAnsi" w:cstheme="majorHAnsi"/>
        </w:rPr>
        <w:t>, la prima convocare.</w:t>
      </w:r>
    </w:p>
    <w:p w14:paraId="6FDE62FE" w14:textId="41F2AD5B" w:rsidR="00B04CFC" w:rsidRPr="008659E3" w:rsidRDefault="00B04CFC"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rPr>
        <w:t xml:space="preserve">Au participat acționari </w:t>
      </w:r>
      <w:r w:rsidRPr="008659E3">
        <w:rPr>
          <w:rFonts w:asciiTheme="majorHAnsi" w:hAnsiTheme="majorHAnsi" w:cstheme="majorHAnsi"/>
          <w:color w:val="000000"/>
          <w:shd w:val="clear" w:color="auto" w:fill="FFFFFF"/>
        </w:rPr>
        <w:t xml:space="preserve">deținând </w:t>
      </w:r>
      <w:r w:rsidRPr="008659E3">
        <w:rPr>
          <w:rFonts w:asciiTheme="majorHAnsi" w:hAnsiTheme="majorHAnsi" w:cstheme="majorHAnsi"/>
        </w:rPr>
        <w:t xml:space="preserve">[…] </w:t>
      </w:r>
      <w:r w:rsidRPr="008659E3">
        <w:rPr>
          <w:rFonts w:asciiTheme="majorHAnsi" w:hAnsiTheme="majorHAnsi" w:cstheme="majorHAnsi"/>
          <w:color w:val="000000"/>
          <w:shd w:val="clear" w:color="auto" w:fill="FFFFFF"/>
        </w:rPr>
        <w:t xml:space="preserve">acțiuni, </w:t>
      </w:r>
      <w:r w:rsidRPr="008659E3">
        <w:rPr>
          <w:rFonts w:asciiTheme="majorHAnsi" w:hAnsiTheme="majorHAnsi" w:cstheme="majorHAnsi"/>
        </w:rPr>
        <w:t>reprezentând […]% din capitalul social si […]% din numărul de drepturi de vot existente, fiind astfel întrunit cvorumul necesar adoptării prezentei Hotărâri a AGOA.</w:t>
      </w:r>
    </w:p>
    <w:p w14:paraId="4188A7C7" w14:textId="77777777" w:rsidR="00B04CFC" w:rsidRPr="008659E3" w:rsidRDefault="00B04CFC"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color w:val="000000"/>
          <w:shd w:val="clear" w:color="auto" w:fill="FFFFFF"/>
        </w:rPr>
        <w:t>Asupra punctelor înscrise pe ordinea de zi, acționarii au hotărât cele de mai jos.</w:t>
      </w:r>
    </w:p>
    <w:p w14:paraId="329960B9"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41207478"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15210294"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E6C9938" w14:textId="77777777" w:rsidR="00B04CFC"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lastRenderedPageBreak/>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173ECEB1" w14:textId="7F173A4C" w:rsidR="00B04CFC" w:rsidRDefault="00B04CFC" w:rsidP="0086361B">
      <w:pPr>
        <w:widowControl w:val="0"/>
        <w:suppressAutoHyphens/>
        <w:spacing w:before="120" w:after="240" w:line="360" w:lineRule="auto"/>
        <w:ind w:left="360"/>
        <w:jc w:val="both"/>
        <w:rPr>
          <w:rFonts w:asciiTheme="majorHAnsi" w:hAnsiTheme="majorHAnsi" w:cstheme="majorHAnsi"/>
        </w:rPr>
      </w:pPr>
      <w:r w:rsidRPr="008659E3">
        <w:rPr>
          <w:rFonts w:asciiTheme="majorHAnsi" w:hAnsiTheme="majorHAnsi" w:cstheme="majorHAnsi"/>
          <w:b/>
          <w:bCs/>
          <w:color w:val="000000"/>
          <w:shd w:val="clear" w:color="auto" w:fill="FFFFFF"/>
        </w:rPr>
        <w:t>Se aproba</w:t>
      </w:r>
      <w:r w:rsidRPr="008659E3">
        <w:rPr>
          <w:rFonts w:asciiTheme="majorHAnsi" w:hAnsiTheme="majorHAnsi" w:cstheme="majorHAnsi"/>
          <w:color w:val="000000"/>
          <w:shd w:val="clear" w:color="auto" w:fill="FFFFFF"/>
        </w:rPr>
        <w:t> </w:t>
      </w:r>
      <w:r w:rsidRPr="008659E3">
        <w:rPr>
          <w:rFonts w:asciiTheme="majorHAnsi" w:hAnsiTheme="majorHAnsi" w:cstheme="majorHAnsi"/>
        </w:rPr>
        <w:t xml:space="preserve">numirea […] în calitate de secretar al Adunării Generale </w:t>
      </w:r>
      <w:r w:rsidR="001560A8" w:rsidRPr="008659E3">
        <w:rPr>
          <w:rFonts w:asciiTheme="majorHAnsi" w:hAnsiTheme="majorHAnsi" w:cstheme="majorHAnsi"/>
        </w:rPr>
        <w:t>Ordinar</w:t>
      </w:r>
      <w:r w:rsidRPr="008659E3">
        <w:rPr>
          <w:rFonts w:asciiTheme="majorHAnsi" w:hAnsiTheme="majorHAnsi" w:cstheme="majorHAnsi"/>
        </w:rPr>
        <w:t>e a Acționarilor.</w:t>
      </w:r>
    </w:p>
    <w:p w14:paraId="24C41ADC" w14:textId="77777777" w:rsidR="00FA21DC" w:rsidRPr="008659E3" w:rsidRDefault="00FA21DC" w:rsidP="0086361B">
      <w:pPr>
        <w:widowControl w:val="0"/>
        <w:suppressAutoHyphens/>
        <w:spacing w:before="120" w:after="240" w:line="360" w:lineRule="auto"/>
        <w:ind w:left="360"/>
        <w:jc w:val="both"/>
        <w:rPr>
          <w:rFonts w:asciiTheme="majorHAnsi" w:hAnsiTheme="majorHAnsi" w:cstheme="majorHAnsi"/>
        </w:rPr>
      </w:pPr>
    </w:p>
    <w:p w14:paraId="5F8C0B81"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1AA23E57"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5D3E475A"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394426EE"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1B4F65D6" w14:textId="5FEF40C7" w:rsidR="001E1372" w:rsidRDefault="00B04CFC" w:rsidP="0086361B">
      <w:pPr>
        <w:widowControl w:val="0"/>
        <w:suppressAutoHyphens/>
        <w:spacing w:before="120" w:after="240" w:line="360" w:lineRule="auto"/>
        <w:ind w:left="360"/>
        <w:jc w:val="both"/>
        <w:rPr>
          <w:rFonts w:asciiTheme="majorHAnsi" w:hAnsiTheme="majorHAnsi" w:cstheme="majorHAnsi"/>
          <w:color w:val="000000"/>
          <w:shd w:val="clear" w:color="auto" w:fill="FFFFFF"/>
        </w:rPr>
      </w:pPr>
      <w:r w:rsidRPr="008659E3">
        <w:rPr>
          <w:rFonts w:asciiTheme="majorHAnsi" w:hAnsiTheme="majorHAnsi" w:cstheme="majorHAnsi"/>
          <w:b/>
          <w:bCs/>
          <w:color w:val="000000"/>
          <w:shd w:val="clear" w:color="auto" w:fill="FFFFFF"/>
        </w:rPr>
        <w:t>Se aprobă</w:t>
      </w:r>
      <w:r w:rsidRPr="008659E3">
        <w:rPr>
          <w:rFonts w:asciiTheme="majorHAnsi" w:hAnsiTheme="majorHAnsi" w:cstheme="majorHAnsi"/>
          <w:color w:val="000000"/>
          <w:shd w:val="clear" w:color="auto" w:fill="FFFFFF"/>
        </w:rPr>
        <w:t> </w:t>
      </w:r>
      <w:r w:rsidR="001B75AB" w:rsidRPr="008659E3">
        <w:rPr>
          <w:rFonts w:asciiTheme="majorHAnsi" w:hAnsiTheme="majorHAnsi" w:cstheme="majorHAnsi"/>
          <w:color w:val="000000"/>
          <w:shd w:val="clear" w:color="auto" w:fill="FFFFFF"/>
        </w:rPr>
        <w:t xml:space="preserve"> </w:t>
      </w:r>
      <w:r w:rsidR="000F3AAB" w:rsidRPr="008659E3">
        <w:rPr>
          <w:rFonts w:asciiTheme="majorHAnsi" w:hAnsiTheme="majorHAnsi" w:cstheme="majorHAnsi"/>
          <w:color w:val="000000"/>
          <w:shd w:val="clear" w:color="auto" w:fill="FFFFFF"/>
        </w:rPr>
        <w:t>situațiile financiare ale exercițiului financiar 2023, pe baza discuțiilor si a rapoartelor prezentate de către Consiliul de Administrație și auditorul financiar</w:t>
      </w:r>
      <w:r w:rsidR="001E1372" w:rsidRPr="008659E3">
        <w:rPr>
          <w:rFonts w:asciiTheme="majorHAnsi" w:hAnsiTheme="majorHAnsi" w:cstheme="majorHAnsi"/>
          <w:color w:val="000000"/>
          <w:shd w:val="clear" w:color="auto" w:fill="FFFFFF"/>
        </w:rPr>
        <w:t>.</w:t>
      </w:r>
    </w:p>
    <w:p w14:paraId="524D2987" w14:textId="77777777" w:rsidR="00FA21DC" w:rsidRPr="008659E3" w:rsidRDefault="00FA21DC" w:rsidP="0086361B">
      <w:pPr>
        <w:widowControl w:val="0"/>
        <w:suppressAutoHyphens/>
        <w:spacing w:before="120" w:after="240" w:line="360" w:lineRule="auto"/>
        <w:ind w:left="360"/>
        <w:jc w:val="both"/>
        <w:rPr>
          <w:rFonts w:asciiTheme="majorHAnsi" w:hAnsiTheme="majorHAnsi" w:cstheme="majorHAnsi"/>
          <w:color w:val="000000"/>
          <w:shd w:val="clear" w:color="auto" w:fill="FFFFFF"/>
        </w:rPr>
      </w:pPr>
    </w:p>
    <w:p w14:paraId="54BCA9E5" w14:textId="03508DDC"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64CE96D9"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647DE8CF"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7174CE35" w14:textId="0CAA15FA" w:rsidR="00B04CFC" w:rsidRPr="008659E3" w:rsidRDefault="00B04CFC" w:rsidP="0086361B">
      <w:pPr>
        <w:widowControl w:val="0"/>
        <w:shd w:val="clear" w:color="auto" w:fill="FFFFFF"/>
        <w:suppressAutoHyphens/>
        <w:spacing w:before="120" w:after="240" w:line="360" w:lineRule="auto"/>
        <w:ind w:left="360"/>
        <w:jc w:val="both"/>
        <w:rPr>
          <w:rFonts w:asciiTheme="majorHAnsi" w:hAnsiTheme="majorHAnsi" w:cstheme="majorHAnsi"/>
          <w:b/>
          <w:bCs/>
          <w:color w:val="000000"/>
          <w:shd w:val="clear" w:color="auto" w:fill="FFFFFF"/>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4B921A09" w14:textId="7894FF29" w:rsidR="00473C5C" w:rsidRDefault="00B04CFC" w:rsidP="0086361B">
      <w:pPr>
        <w:widowControl w:val="0"/>
        <w:shd w:val="clear" w:color="auto" w:fill="FFFFFF"/>
        <w:suppressAutoHyphens/>
        <w:spacing w:before="120" w:after="240" w:line="360" w:lineRule="auto"/>
        <w:ind w:left="360"/>
        <w:jc w:val="both"/>
        <w:rPr>
          <w:rFonts w:asciiTheme="majorHAnsi" w:hAnsiTheme="majorHAnsi" w:cstheme="majorHAnsi"/>
          <w:color w:val="000000"/>
          <w:shd w:val="clear" w:color="auto" w:fill="FFFFFF"/>
        </w:rPr>
      </w:pPr>
      <w:r w:rsidRPr="008659E3">
        <w:rPr>
          <w:rFonts w:asciiTheme="majorHAnsi" w:hAnsiTheme="majorHAnsi" w:cstheme="majorHAnsi"/>
          <w:b/>
          <w:bCs/>
          <w:color w:val="000000"/>
          <w:shd w:val="clear" w:color="auto" w:fill="FFFFFF"/>
        </w:rPr>
        <w:t>Se aproba</w:t>
      </w:r>
      <w:r w:rsidRPr="008659E3">
        <w:rPr>
          <w:rFonts w:asciiTheme="majorHAnsi" w:hAnsiTheme="majorHAnsi" w:cstheme="majorHAnsi"/>
          <w:color w:val="000000"/>
          <w:shd w:val="clear" w:color="auto" w:fill="FFFFFF"/>
        </w:rPr>
        <w:t> </w:t>
      </w:r>
      <w:r w:rsidR="000A7CE6" w:rsidRPr="008659E3">
        <w:rPr>
          <w:rFonts w:asciiTheme="majorHAnsi" w:hAnsiTheme="majorHAnsi" w:cstheme="majorHAnsi"/>
          <w:color w:val="000000"/>
          <w:shd w:val="clear" w:color="auto" w:fill="FFFFFF"/>
        </w:rPr>
        <w:t>descărcarea de gestiune a Consiliului de Administrație pentru exercițiul financiar 2023</w:t>
      </w:r>
      <w:r w:rsidR="00473C5C" w:rsidRPr="008659E3">
        <w:rPr>
          <w:rFonts w:asciiTheme="majorHAnsi" w:hAnsiTheme="majorHAnsi" w:cstheme="majorHAnsi"/>
          <w:color w:val="000000"/>
          <w:shd w:val="clear" w:color="auto" w:fill="FFFFFF"/>
        </w:rPr>
        <w:t>.</w:t>
      </w:r>
    </w:p>
    <w:p w14:paraId="4CFEA893" w14:textId="77777777" w:rsidR="00FA21DC" w:rsidRPr="008659E3" w:rsidRDefault="00FA21DC" w:rsidP="0086361B">
      <w:pPr>
        <w:widowControl w:val="0"/>
        <w:shd w:val="clear" w:color="auto" w:fill="FFFFFF"/>
        <w:suppressAutoHyphens/>
        <w:spacing w:before="120" w:after="240" w:line="360" w:lineRule="auto"/>
        <w:ind w:left="360"/>
        <w:jc w:val="both"/>
        <w:rPr>
          <w:rFonts w:asciiTheme="majorHAnsi" w:hAnsiTheme="majorHAnsi" w:cstheme="majorHAnsi"/>
          <w:color w:val="000000"/>
          <w:shd w:val="clear" w:color="auto" w:fill="FFFFFF"/>
        </w:rPr>
      </w:pPr>
    </w:p>
    <w:p w14:paraId="4D2F8AB9"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33E9C023"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97CCBE5"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33A6C71D"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08C709F1" w14:textId="39ACCCE2" w:rsidR="007F75EE" w:rsidRPr="008659E3" w:rsidRDefault="00B04CFC" w:rsidP="0086361B">
      <w:pPr>
        <w:widowControl w:val="0"/>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hAnsiTheme="majorHAnsi" w:cstheme="majorHAnsi"/>
          <w:b/>
          <w:bCs/>
        </w:rPr>
        <w:t xml:space="preserve">Se aprobă </w:t>
      </w:r>
      <w:r w:rsidR="001F4F88" w:rsidRPr="008659E3">
        <w:rPr>
          <w:rFonts w:asciiTheme="majorHAnsi" w:eastAsia="Times New Roman" w:hAnsiTheme="majorHAnsi" w:cstheme="majorHAnsi"/>
          <w:color w:val="000000"/>
        </w:rPr>
        <w:t>modul de repartizare a profitului net aferent anului financiar 2023 în suma de 3.150.926,43 lei, astfel:</w:t>
      </w:r>
      <w:r w:rsidR="007F75EE" w:rsidRPr="008659E3">
        <w:rPr>
          <w:rFonts w:asciiTheme="majorHAnsi" w:eastAsia="Times New Roman" w:hAnsiTheme="majorHAnsi" w:cstheme="majorHAnsi"/>
          <w:color w:val="000000"/>
        </w:rPr>
        <w:t>:</w:t>
      </w:r>
    </w:p>
    <w:p w14:paraId="3DCAF24B" w14:textId="77777777" w:rsidR="007019A8" w:rsidRPr="008659E3" w:rsidRDefault="007019A8" w:rsidP="0086361B">
      <w:pPr>
        <w:pStyle w:val="ListParagraph"/>
        <w:numPr>
          <w:ilvl w:val="0"/>
          <w:numId w:val="10"/>
        </w:numPr>
        <w:shd w:val="clear" w:color="auto" w:fill="FFFFFF"/>
        <w:spacing w:before="120" w:after="240" w:line="253" w:lineRule="atLeast"/>
        <w:ind w:left="1418" w:hanging="425"/>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rezerva legală: 6.448</w:t>
      </w:r>
      <w:r w:rsidRPr="008659E3">
        <w:rPr>
          <w:rFonts w:asciiTheme="majorHAnsi" w:eastAsia="Times New Roman" w:hAnsiTheme="majorHAnsi" w:cstheme="majorHAnsi"/>
          <w:b/>
          <w:bCs/>
          <w:color w:val="000000"/>
        </w:rPr>
        <w:t xml:space="preserve"> </w:t>
      </w:r>
      <w:r w:rsidRPr="008659E3">
        <w:rPr>
          <w:rFonts w:asciiTheme="majorHAnsi" w:eastAsia="Times New Roman" w:hAnsiTheme="majorHAnsi" w:cstheme="majorHAnsi"/>
          <w:color w:val="000000"/>
        </w:rPr>
        <w:t>lei;</w:t>
      </w:r>
    </w:p>
    <w:p w14:paraId="2DBE05E2" w14:textId="77777777" w:rsidR="007019A8" w:rsidRPr="008659E3" w:rsidRDefault="007019A8" w:rsidP="0086361B">
      <w:pPr>
        <w:pStyle w:val="ListParagraph"/>
        <w:numPr>
          <w:ilvl w:val="0"/>
          <w:numId w:val="10"/>
        </w:numPr>
        <w:shd w:val="clear" w:color="auto" w:fill="FFFFFF"/>
        <w:spacing w:before="120" w:after="240" w:line="253" w:lineRule="atLeast"/>
        <w:ind w:left="1418" w:hanging="425"/>
        <w:contextualSpacing w:val="0"/>
        <w:jc w:val="both"/>
        <w:rPr>
          <w:rFonts w:asciiTheme="majorHAnsi" w:eastAsia="Times New Roman" w:hAnsiTheme="majorHAnsi" w:cstheme="majorHAnsi"/>
          <w:b/>
          <w:bCs/>
          <w:color w:val="000000"/>
        </w:rPr>
      </w:pPr>
      <w:r w:rsidRPr="008659E3">
        <w:rPr>
          <w:rFonts w:asciiTheme="majorHAnsi" w:eastAsia="Times New Roman" w:hAnsiTheme="majorHAnsi" w:cstheme="majorHAnsi"/>
          <w:b/>
          <w:bCs/>
          <w:color w:val="000000"/>
        </w:rPr>
        <w:t>distribuirea de dividende: 1.540.000 lei; fixarea unui dividend brut per acțiune: 0,35 lei. Dividendele vor fi plătite de Societate. Data plății este 21 mai 2024;</w:t>
      </w:r>
    </w:p>
    <w:p w14:paraId="26F0C48F" w14:textId="5AAF400A" w:rsidR="007F75EE" w:rsidRPr="008659E3" w:rsidRDefault="007019A8" w:rsidP="0086361B">
      <w:pPr>
        <w:pStyle w:val="ListParagraph"/>
        <w:numPr>
          <w:ilvl w:val="0"/>
          <w:numId w:val="10"/>
        </w:numPr>
        <w:shd w:val="clear" w:color="auto" w:fill="FFFFFF"/>
        <w:spacing w:before="120" w:after="240" w:line="253" w:lineRule="atLeast"/>
        <w:ind w:left="1418" w:hanging="425"/>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suma de 1.604.478,43</w:t>
      </w:r>
      <w:r w:rsidRPr="008659E3">
        <w:rPr>
          <w:rFonts w:asciiTheme="majorHAnsi" w:eastAsia="Times New Roman" w:hAnsiTheme="majorHAnsi" w:cstheme="majorHAnsi"/>
          <w:b/>
          <w:bCs/>
          <w:color w:val="000000"/>
        </w:rPr>
        <w:t xml:space="preserve"> </w:t>
      </w:r>
      <w:r w:rsidRPr="008659E3">
        <w:rPr>
          <w:rFonts w:asciiTheme="majorHAnsi" w:eastAsia="Times New Roman" w:hAnsiTheme="majorHAnsi" w:cstheme="majorHAnsi"/>
          <w:color w:val="000000"/>
        </w:rPr>
        <w:t>lei ca profit nerepartizat.</w:t>
      </w:r>
      <w:bookmarkStart w:id="0" w:name="_Ref128675925"/>
    </w:p>
    <w:p w14:paraId="7DB16C6D" w14:textId="1038B3B3" w:rsidR="007F75EE" w:rsidRPr="008659E3" w:rsidRDefault="007D2B9B" w:rsidP="0086361B">
      <w:pPr>
        <w:shd w:val="clear" w:color="auto" w:fill="FFFFFF"/>
        <w:spacing w:before="120" w:after="240" w:line="253" w:lineRule="atLeast"/>
        <w:ind w:left="708"/>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Din profitul nerepartizat, consiliul de administrație propune ca suma de 528.000 lei să fie folosită la demararea de către Societate a unui program de răscumpărare acțiuni, în condițiile și modalitatea aprobate prin AGEA Societății, necesar îndeplinirii obligațiilor Societății rezultate din demararea programului de recompensare și motivare a personalului cheie de tip Stock Option Plan</w:t>
      </w:r>
      <w:r w:rsidR="005C09AE" w:rsidRPr="008659E3">
        <w:rPr>
          <w:rFonts w:asciiTheme="majorHAnsi" w:eastAsia="Times New Roman" w:hAnsiTheme="majorHAnsi" w:cstheme="majorHAnsi"/>
          <w:color w:val="000000"/>
        </w:rPr>
        <w:t>.</w:t>
      </w:r>
    </w:p>
    <w:bookmarkEnd w:id="0"/>
    <w:p w14:paraId="45C38A31" w14:textId="09A71358" w:rsidR="00B04CFC" w:rsidRPr="008659E3" w:rsidRDefault="00B04CFC" w:rsidP="0086361B">
      <w:pPr>
        <w:widowControl w:val="0"/>
        <w:suppressAutoHyphens/>
        <w:spacing w:before="120" w:after="240" w:line="360" w:lineRule="auto"/>
        <w:ind w:left="360"/>
        <w:jc w:val="both"/>
        <w:rPr>
          <w:rFonts w:asciiTheme="majorHAnsi" w:hAnsiTheme="majorHAnsi" w:cstheme="majorHAnsi"/>
          <w:color w:val="000000"/>
        </w:rPr>
      </w:pPr>
    </w:p>
    <w:p w14:paraId="0C55534B"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4069219D"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1C3B54CF"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numărul total de </w:t>
      </w:r>
      <w:r w:rsidRPr="008659E3">
        <w:rPr>
          <w:rFonts w:asciiTheme="majorHAnsi" w:eastAsia="Times New Roman" w:hAnsiTheme="majorHAnsi" w:cstheme="majorHAnsi"/>
          <w:color w:val="000000"/>
        </w:rPr>
        <w:lastRenderedPageBreak/>
        <w:t>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B315BB2"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13E79B7B" w14:textId="706BABBA" w:rsidR="005C09AE" w:rsidRPr="008659E3" w:rsidRDefault="00B04CFC" w:rsidP="0086361B">
      <w:pPr>
        <w:widowControl w:val="0"/>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hAnsiTheme="majorHAnsi" w:cstheme="majorHAnsi"/>
          <w:b/>
          <w:bCs/>
        </w:rPr>
        <w:t xml:space="preserve">Se aprobă </w:t>
      </w:r>
      <w:r w:rsidR="00B67222" w:rsidRPr="008659E3">
        <w:rPr>
          <w:rFonts w:asciiTheme="majorHAnsi" w:eastAsia="Times New Roman" w:hAnsiTheme="majorHAnsi" w:cstheme="majorHAnsi"/>
          <w:color w:val="000000"/>
        </w:rPr>
        <w:t>ca mandatul membrilor consiliului de administrație aferent anului financiar 2024 să fie neremunerat. Aprobarea majorării numărului total de acțiuni care pot fi acordate membrilor Consiliului de Administrație în baza programului de recompensare prin acțiuni tip Stock Option Plan demarat de Societate pentru perioada 2023-2025, de la 57.636 acțiuni la maxim 110.436</w:t>
      </w:r>
      <w:r w:rsidR="005C09AE" w:rsidRPr="008659E3">
        <w:rPr>
          <w:rFonts w:asciiTheme="majorHAnsi" w:eastAsia="Times New Roman" w:hAnsiTheme="majorHAnsi" w:cstheme="majorHAnsi"/>
          <w:color w:val="000000"/>
        </w:rPr>
        <w:t>.</w:t>
      </w:r>
    </w:p>
    <w:p w14:paraId="672F5556" w14:textId="77777777" w:rsidR="00B04CFC" w:rsidRPr="008659E3" w:rsidRDefault="00B04CFC" w:rsidP="0086361B">
      <w:pPr>
        <w:widowControl w:val="0"/>
        <w:suppressAutoHyphens/>
        <w:spacing w:before="120" w:after="240" w:line="360" w:lineRule="auto"/>
        <w:ind w:left="360"/>
        <w:jc w:val="both"/>
        <w:rPr>
          <w:rFonts w:asciiTheme="majorHAnsi" w:hAnsiTheme="majorHAnsi" w:cstheme="majorHAnsi"/>
        </w:rPr>
      </w:pPr>
    </w:p>
    <w:p w14:paraId="1DE9A0B5"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6C6F8C7"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3A42A689"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9FBB11C"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4BFBE02C" w14:textId="6DA7F6AE" w:rsidR="00B04CFC" w:rsidRPr="008659E3" w:rsidRDefault="00B04CFC" w:rsidP="0086361B">
      <w:pPr>
        <w:widowControl w:val="0"/>
        <w:shd w:val="clear" w:color="auto" w:fill="FFFFFF"/>
        <w:suppressAutoHyphens/>
        <w:spacing w:before="120" w:after="240" w:line="360" w:lineRule="auto"/>
        <w:ind w:left="360"/>
        <w:jc w:val="both"/>
        <w:rPr>
          <w:rFonts w:asciiTheme="majorHAnsi" w:hAnsiTheme="majorHAnsi" w:cstheme="majorHAnsi"/>
        </w:rPr>
      </w:pPr>
      <w:r w:rsidRPr="008659E3">
        <w:rPr>
          <w:rFonts w:asciiTheme="majorHAnsi" w:hAnsiTheme="majorHAnsi" w:cstheme="majorHAnsi"/>
          <w:b/>
          <w:bCs/>
        </w:rPr>
        <w:t xml:space="preserve">Se aprobă </w:t>
      </w:r>
      <w:r w:rsidR="00D31503" w:rsidRPr="008659E3">
        <w:rPr>
          <w:rFonts w:asciiTheme="majorHAnsi" w:hAnsiTheme="majorHAnsi" w:cstheme="majorHAnsi"/>
        </w:rPr>
        <w:t>bugetul de venituri și cheltuieli pentru exercițiul financiar 202</w:t>
      </w:r>
      <w:r w:rsidR="00926006" w:rsidRPr="008659E3">
        <w:rPr>
          <w:rFonts w:asciiTheme="majorHAnsi" w:hAnsiTheme="majorHAnsi" w:cstheme="majorHAnsi"/>
        </w:rPr>
        <w:t>4</w:t>
      </w:r>
      <w:r w:rsidR="007B5C49" w:rsidRPr="008659E3">
        <w:rPr>
          <w:rFonts w:asciiTheme="majorHAnsi" w:hAnsiTheme="majorHAnsi" w:cstheme="majorHAnsi"/>
        </w:rPr>
        <w:t xml:space="preserve"> în forma propusă de consiliul de administrație</w:t>
      </w:r>
      <w:r w:rsidR="00D31503" w:rsidRPr="008659E3">
        <w:rPr>
          <w:rFonts w:asciiTheme="majorHAnsi" w:hAnsiTheme="majorHAnsi" w:cstheme="majorHAnsi"/>
        </w:rPr>
        <w:t>.</w:t>
      </w:r>
    </w:p>
    <w:p w14:paraId="18D3CDB4" w14:textId="77777777" w:rsidR="00B04CFC" w:rsidRPr="008659E3" w:rsidRDefault="00B04CFC" w:rsidP="0086361B">
      <w:pPr>
        <w:widowControl w:val="0"/>
        <w:suppressAutoHyphens/>
        <w:spacing w:before="120" w:after="240" w:line="360" w:lineRule="auto"/>
        <w:ind w:left="360"/>
        <w:jc w:val="both"/>
        <w:rPr>
          <w:rFonts w:asciiTheme="majorHAnsi" w:hAnsiTheme="majorHAnsi" w:cstheme="majorHAnsi"/>
        </w:rPr>
      </w:pPr>
    </w:p>
    <w:p w14:paraId="10874471" w14:textId="77777777" w:rsidR="00B04CFC" w:rsidRPr="008659E3" w:rsidRDefault="00B04CFC"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3059528E"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6DC0F191"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lastRenderedPageBreak/>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1E003BAB" w14:textId="77777777" w:rsidR="00B04CFC" w:rsidRPr="008659E3" w:rsidRDefault="00B04CFC"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6827AD5B" w14:textId="63DBF816" w:rsidR="00B04CFC" w:rsidRDefault="00B04CFC" w:rsidP="0086361B">
      <w:pPr>
        <w:widowControl w:val="0"/>
        <w:shd w:val="clear" w:color="auto" w:fill="FFFFFF"/>
        <w:suppressAutoHyphens/>
        <w:spacing w:before="120" w:after="240" w:line="360" w:lineRule="auto"/>
        <w:ind w:left="360"/>
        <w:jc w:val="both"/>
        <w:rPr>
          <w:rFonts w:asciiTheme="majorHAnsi" w:hAnsiTheme="majorHAnsi" w:cstheme="majorHAnsi"/>
        </w:rPr>
      </w:pPr>
      <w:r w:rsidRPr="008659E3">
        <w:rPr>
          <w:rFonts w:asciiTheme="majorHAnsi" w:hAnsiTheme="majorHAnsi" w:cstheme="majorHAnsi"/>
          <w:b/>
          <w:bCs/>
        </w:rPr>
        <w:t>Se aprobă</w:t>
      </w:r>
      <w:r w:rsidRPr="008659E3">
        <w:rPr>
          <w:rFonts w:asciiTheme="majorHAnsi" w:hAnsiTheme="majorHAnsi" w:cstheme="majorHAnsi"/>
        </w:rPr>
        <w:t xml:space="preserve"> </w:t>
      </w:r>
      <w:r w:rsidR="005E785A" w:rsidRPr="008659E3">
        <w:rPr>
          <w:rFonts w:asciiTheme="majorHAnsi" w:hAnsiTheme="majorHAnsi" w:cstheme="majorHAnsi"/>
        </w:rPr>
        <w:t xml:space="preserve">data de </w:t>
      </w:r>
      <w:r w:rsidR="008C65B9" w:rsidRPr="008659E3">
        <w:rPr>
          <w:rFonts w:asciiTheme="majorHAnsi" w:hAnsiTheme="majorHAnsi" w:cstheme="majorHAnsi"/>
        </w:rPr>
        <w:t>7 mai 2024 ca data de înregistrare (2 mai 2024 ca ex-date) pentru identificarea acționarilor asupra cărora se vor răsfrânge efectele hotărârilor adoptate de către AGOA, in conformitate cu prevederile art. 87 din Legea nr. 24/2017 privind emitenții de instrumente financiare si operațiuni de piață</w:t>
      </w:r>
      <w:r w:rsidRPr="008659E3">
        <w:rPr>
          <w:rFonts w:asciiTheme="majorHAnsi" w:hAnsiTheme="majorHAnsi" w:cstheme="majorHAnsi"/>
        </w:rPr>
        <w:t>.</w:t>
      </w:r>
    </w:p>
    <w:p w14:paraId="5A4696F6" w14:textId="77777777" w:rsidR="00FA21DC" w:rsidRPr="008659E3" w:rsidRDefault="00FA21DC" w:rsidP="0086361B">
      <w:pPr>
        <w:widowControl w:val="0"/>
        <w:shd w:val="clear" w:color="auto" w:fill="FFFFFF"/>
        <w:suppressAutoHyphens/>
        <w:spacing w:before="120" w:after="240" w:line="360" w:lineRule="auto"/>
        <w:ind w:left="360"/>
        <w:jc w:val="both"/>
        <w:rPr>
          <w:rFonts w:asciiTheme="majorHAnsi" w:hAnsiTheme="majorHAnsi" w:cstheme="majorHAnsi"/>
        </w:rPr>
      </w:pPr>
    </w:p>
    <w:p w14:paraId="618997D8" w14:textId="77777777" w:rsidR="002A3D9F" w:rsidRPr="008659E3" w:rsidRDefault="002A3D9F" w:rsidP="0086361B">
      <w:pPr>
        <w:pStyle w:val="ListParagraph"/>
        <w:widowControl w:val="0"/>
        <w:numPr>
          <w:ilvl w:val="0"/>
          <w:numId w:val="4"/>
        </w:numPr>
        <w:shd w:val="clear" w:color="auto" w:fill="FFFFFF"/>
        <w:suppressAutoHyphens/>
        <w:spacing w:before="120" w:after="240" w:line="360" w:lineRule="auto"/>
        <w:contextualSpacing w:val="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Fiind exprimat valabil un număr de </w:t>
      </w:r>
      <w:r w:rsidRPr="008659E3">
        <w:rPr>
          <w:rFonts w:asciiTheme="majorHAnsi" w:hAnsiTheme="majorHAnsi" w:cstheme="majorHAnsi"/>
        </w:rPr>
        <w:t>[…]</w:t>
      </w:r>
      <w:r w:rsidRPr="008659E3">
        <w:rPr>
          <w:rFonts w:asciiTheme="majorHAnsi" w:eastAsia="Times New Roman" w:hAnsiTheme="majorHAnsi" w:cstheme="majorHAnsi"/>
          <w:color w:val="000000"/>
        </w:rPr>
        <w:t> voturi reprezentând </w:t>
      </w:r>
      <w:r w:rsidRPr="008659E3">
        <w:rPr>
          <w:rFonts w:asciiTheme="majorHAnsi" w:hAnsiTheme="majorHAnsi" w:cstheme="majorHAnsi"/>
        </w:rPr>
        <w:t>[…]</w:t>
      </w:r>
      <w:r w:rsidRPr="008659E3">
        <w:rPr>
          <w:rFonts w:asciiTheme="majorHAnsi" w:eastAsia="Times New Roman" w:hAnsiTheme="majorHAnsi" w:cstheme="majorHAnsi"/>
          <w:color w:val="000000"/>
        </w:rPr>
        <w:t> acțiuni,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din capitalul social,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 deținute de acționarii prezenți sau reprezentați in mod valabil sau care au votat valabil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769314BA" w14:textId="77777777" w:rsidR="002A3D9F" w:rsidRPr="008659E3" w:rsidRDefault="002A3D9F"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pentru</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038F2CEB" w14:textId="77777777" w:rsidR="002A3D9F" w:rsidRPr="008659E3" w:rsidRDefault="002A3D9F"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Cu </w:t>
      </w:r>
      <w:r w:rsidRPr="008659E3">
        <w:rPr>
          <w:rFonts w:asciiTheme="majorHAnsi" w:hAnsiTheme="majorHAnsi" w:cstheme="majorHAnsi"/>
        </w:rPr>
        <w:t>[…]</w:t>
      </w:r>
      <w:r w:rsidRPr="008659E3">
        <w:rPr>
          <w:rFonts w:asciiTheme="majorHAnsi" w:eastAsia="Times New Roman" w:hAnsiTheme="majorHAnsi" w:cstheme="majorHAnsi"/>
          <w:color w:val="000000"/>
        </w:rPr>
        <w:t> voturi valabil exprimate „</w:t>
      </w:r>
      <w:r w:rsidRPr="008659E3">
        <w:rPr>
          <w:rFonts w:asciiTheme="majorHAnsi" w:eastAsia="Times New Roman" w:hAnsiTheme="majorHAnsi" w:cstheme="majorHAnsi"/>
          <w:i/>
          <w:iCs/>
          <w:color w:val="000000"/>
        </w:rPr>
        <w:t>împotriva</w:t>
      </w:r>
      <w:r w:rsidRPr="008659E3">
        <w:rPr>
          <w:rFonts w:asciiTheme="majorHAnsi" w:eastAsia="Times New Roman" w:hAnsiTheme="majorHAnsi" w:cstheme="majorHAnsi"/>
          <w:color w:val="000000"/>
        </w:rPr>
        <w:t>” ale acționarilor reprezentând </w:t>
      </w:r>
      <w:r w:rsidRPr="008659E3">
        <w:rPr>
          <w:rFonts w:asciiTheme="majorHAnsi" w:hAnsiTheme="majorHAnsi" w:cstheme="majorHAnsi"/>
        </w:rPr>
        <w:t>[…]</w:t>
      </w:r>
      <w:r w:rsidRPr="008659E3">
        <w:rPr>
          <w:rFonts w:asciiTheme="majorHAnsi" w:eastAsia="Times New Roman" w:hAnsiTheme="majorHAnsi" w:cstheme="majorHAnsi"/>
          <w:color w:val="000000"/>
        </w:rPr>
        <w:t>% din numărul total de voturi exprimate de acționarii prezenți, reprezentați sau care si-au exprimat votul prin corespondenta si </w:t>
      </w:r>
      <w:r w:rsidRPr="008659E3">
        <w:rPr>
          <w:rFonts w:asciiTheme="majorHAnsi" w:hAnsiTheme="majorHAnsi" w:cstheme="majorHAnsi"/>
        </w:rPr>
        <w:t>[…]</w:t>
      </w:r>
      <w:r w:rsidRPr="008659E3">
        <w:rPr>
          <w:rFonts w:asciiTheme="majorHAnsi" w:eastAsia="Times New Roman" w:hAnsiTheme="majorHAnsi" w:cstheme="majorHAnsi"/>
          <w:color w:val="000000"/>
        </w:rPr>
        <w:t>% din totalul drepturilor de vot,</w:t>
      </w:r>
    </w:p>
    <w:p w14:paraId="26BAE4E7" w14:textId="77777777" w:rsidR="002A3D9F" w:rsidRPr="008659E3" w:rsidRDefault="002A3D9F" w:rsidP="0086361B">
      <w:pPr>
        <w:widowControl w:val="0"/>
        <w:shd w:val="clear" w:color="auto" w:fill="FFFFFF"/>
        <w:suppressAutoHyphens/>
        <w:spacing w:before="120" w:after="240" w:line="360" w:lineRule="auto"/>
        <w:ind w:left="360"/>
        <w:jc w:val="both"/>
        <w:rPr>
          <w:rFonts w:asciiTheme="majorHAnsi" w:eastAsia="Times New Roman" w:hAnsiTheme="majorHAnsi" w:cstheme="majorHAnsi"/>
          <w:color w:val="000000"/>
        </w:rPr>
      </w:pPr>
      <w:r w:rsidRPr="008659E3">
        <w:rPr>
          <w:rFonts w:asciiTheme="majorHAnsi" w:eastAsia="Times New Roman" w:hAnsiTheme="majorHAnsi" w:cstheme="majorHAnsi"/>
          <w:color w:val="000000"/>
        </w:rPr>
        <w:t>Existând  </w:t>
      </w:r>
      <w:r w:rsidRPr="008659E3">
        <w:rPr>
          <w:rFonts w:asciiTheme="majorHAnsi" w:hAnsiTheme="majorHAnsi" w:cstheme="majorHAnsi"/>
        </w:rPr>
        <w:t>[…]</w:t>
      </w:r>
      <w:r w:rsidRPr="008659E3">
        <w:rPr>
          <w:rFonts w:asciiTheme="majorHAnsi" w:eastAsia="Times New Roman" w:hAnsiTheme="majorHAnsi" w:cstheme="majorHAnsi"/>
          <w:color w:val="000000"/>
        </w:rPr>
        <w:t xml:space="preserve"> abțineri sau voturi neexprimate:</w:t>
      </w:r>
    </w:p>
    <w:p w14:paraId="6F104B20" w14:textId="08C95955" w:rsidR="002A3D9F" w:rsidRPr="008659E3" w:rsidRDefault="002A3D9F" w:rsidP="0086361B">
      <w:pPr>
        <w:widowControl w:val="0"/>
        <w:shd w:val="clear" w:color="auto" w:fill="FFFFFF"/>
        <w:suppressAutoHyphens/>
        <w:spacing w:before="120" w:after="240" w:line="360" w:lineRule="auto"/>
        <w:ind w:left="360"/>
        <w:jc w:val="both"/>
        <w:rPr>
          <w:rFonts w:asciiTheme="majorHAnsi" w:hAnsiTheme="majorHAnsi" w:cstheme="majorHAnsi"/>
        </w:rPr>
      </w:pPr>
      <w:r w:rsidRPr="008659E3">
        <w:rPr>
          <w:rFonts w:asciiTheme="majorHAnsi" w:hAnsiTheme="majorHAnsi" w:cstheme="majorHAnsi"/>
          <w:b/>
          <w:bCs/>
        </w:rPr>
        <w:t xml:space="preserve">Se aprobă </w:t>
      </w:r>
      <w:r w:rsidR="008659E3" w:rsidRPr="008659E3">
        <w:rPr>
          <w:rFonts w:asciiTheme="majorHAnsi" w:hAnsiTheme="majorHAnsi" w:cstheme="majorHAnsi"/>
        </w:rPr>
        <w:t>împuternicirea Președintelui Consiliului de Administrație / directorului general, pentru semnarea hotărârii in numele acționarilor și, cu drept de substituire, pentru efectuarea tuturor formalităților necesare în scopul implementării, depunerii, înregistrării, publicării hotărârii AGOA si/sau operațiunilor aprobate prin aceasta, inclusiv reprezentarea Societății în fața oricăror autorități în acest scop</w:t>
      </w:r>
      <w:r w:rsidR="00373949" w:rsidRPr="008659E3">
        <w:rPr>
          <w:rFonts w:asciiTheme="majorHAnsi" w:hAnsiTheme="majorHAnsi" w:cstheme="majorHAnsi"/>
        </w:rPr>
        <w:t>.</w:t>
      </w:r>
    </w:p>
    <w:p w14:paraId="3B39228E" w14:textId="77777777" w:rsidR="00B04CFC" w:rsidRPr="008659E3" w:rsidRDefault="00B04CFC" w:rsidP="0086361B">
      <w:pPr>
        <w:widowControl w:val="0"/>
        <w:suppressAutoHyphens/>
        <w:spacing w:before="120" w:after="240" w:line="360" w:lineRule="auto"/>
        <w:jc w:val="both"/>
        <w:rPr>
          <w:rFonts w:asciiTheme="majorHAnsi" w:hAnsiTheme="majorHAnsi" w:cstheme="majorHAnsi"/>
        </w:rPr>
      </w:pPr>
      <w:r w:rsidRPr="008659E3">
        <w:rPr>
          <w:rFonts w:asciiTheme="majorHAnsi" w:hAnsiTheme="majorHAnsi" w:cstheme="majorHAnsi"/>
        </w:rPr>
        <w:t>Prezenta hotărâre este semnată astăzi, [...].</w:t>
      </w:r>
    </w:p>
    <w:p w14:paraId="14A96766" w14:textId="57A05065" w:rsidR="00B04CFC" w:rsidRPr="008659E3" w:rsidRDefault="0058636E" w:rsidP="0086361B">
      <w:pPr>
        <w:widowControl w:val="0"/>
        <w:suppressAutoHyphens/>
        <w:spacing w:before="120" w:after="240" w:line="360" w:lineRule="auto"/>
        <w:jc w:val="center"/>
        <w:rPr>
          <w:rFonts w:asciiTheme="majorHAnsi" w:hAnsiTheme="majorHAnsi" w:cstheme="majorHAnsi"/>
        </w:rPr>
      </w:pPr>
      <w:r w:rsidRPr="0058636E">
        <w:rPr>
          <w:rFonts w:asciiTheme="majorHAnsi" w:hAnsiTheme="majorHAnsi" w:cstheme="majorHAnsi"/>
        </w:rPr>
        <w:t>DAN-ANDREI STRĂUŢ</w:t>
      </w:r>
    </w:p>
    <w:p w14:paraId="5D9D2BE2" w14:textId="63690454" w:rsidR="00CF3839" w:rsidRPr="008659E3" w:rsidRDefault="00B04CFC" w:rsidP="0086361B">
      <w:pPr>
        <w:widowControl w:val="0"/>
        <w:suppressAutoHyphens/>
        <w:spacing w:before="120" w:after="240" w:line="360" w:lineRule="auto"/>
        <w:jc w:val="center"/>
        <w:rPr>
          <w:rFonts w:asciiTheme="majorHAnsi" w:hAnsiTheme="majorHAnsi" w:cstheme="majorHAnsi"/>
        </w:rPr>
      </w:pPr>
      <w:r w:rsidRPr="008659E3">
        <w:rPr>
          <w:rFonts w:asciiTheme="majorHAnsi" w:hAnsiTheme="majorHAnsi" w:cstheme="majorHAnsi"/>
        </w:rPr>
        <w:t>Președinte al Consiliului de Administrație</w:t>
      </w:r>
    </w:p>
    <w:sectPr w:rsidR="00CF3839" w:rsidRPr="008659E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32ACC" w14:textId="77777777" w:rsidR="00FA21DC" w:rsidRDefault="00FA21DC" w:rsidP="00FA21DC">
      <w:pPr>
        <w:spacing w:after="0" w:line="240" w:lineRule="auto"/>
      </w:pPr>
      <w:r>
        <w:separator/>
      </w:r>
    </w:p>
  </w:endnote>
  <w:endnote w:type="continuationSeparator" w:id="0">
    <w:p w14:paraId="4926052E" w14:textId="77777777" w:rsidR="00FA21DC" w:rsidRDefault="00FA21DC" w:rsidP="00FA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OMV 55 Roman">
    <w:altName w:val="Times New Roman"/>
    <w:charset w:val="00"/>
    <w:family w:val="auto"/>
    <w:pitch w:val="variable"/>
    <w:sig w:usb0="00000001" w:usb1="10000042"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B1835" w14:textId="51E0D010" w:rsidR="00FA21DC" w:rsidRDefault="00FA21DC" w:rsidP="00FA21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95CB0" w14:textId="77777777" w:rsidR="00FA21DC" w:rsidRDefault="00FA21DC" w:rsidP="00FA21DC">
      <w:pPr>
        <w:spacing w:after="0" w:line="240" w:lineRule="auto"/>
      </w:pPr>
      <w:r>
        <w:separator/>
      </w:r>
    </w:p>
  </w:footnote>
  <w:footnote w:type="continuationSeparator" w:id="0">
    <w:p w14:paraId="0D131407" w14:textId="77777777" w:rsidR="00FA21DC" w:rsidRDefault="00FA21DC" w:rsidP="00FA2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F4889"/>
    <w:multiLevelType w:val="hybridMultilevel"/>
    <w:tmpl w:val="D9844F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72D1827"/>
    <w:multiLevelType w:val="multilevel"/>
    <w:tmpl w:val="CC08EBF4"/>
    <w:lvl w:ilvl="0">
      <w:start w:val="1"/>
      <w:numFmt w:val="decimal"/>
      <w:lvlText w:val="%1."/>
      <w:lvlJc w:val="left"/>
      <w:pPr>
        <w:ind w:left="360" w:hanging="360"/>
      </w:pPr>
      <w:rPr>
        <w:b/>
        <w:bCs/>
        <w:i w:val="0"/>
        <w:iCs w:val="0"/>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 w15:restartNumberingAfterBreak="0">
    <w:nsid w:val="3DDD1733"/>
    <w:multiLevelType w:val="hybridMultilevel"/>
    <w:tmpl w:val="86C4A87E"/>
    <w:lvl w:ilvl="0" w:tplc="22C8C48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EE60842"/>
    <w:multiLevelType w:val="hybridMultilevel"/>
    <w:tmpl w:val="63B6D7F6"/>
    <w:lvl w:ilvl="0" w:tplc="7C9E2A96">
      <w:start w:val="1"/>
      <w:numFmt w:val="lowerRoman"/>
      <w:lvlText w:val="%1."/>
      <w:lvlJc w:val="left"/>
      <w:pPr>
        <w:ind w:left="1287" w:hanging="360"/>
      </w:pPr>
      <w:rPr>
        <w:b w:val="0"/>
        <w:bCs w:val="0"/>
        <w:i/>
        <w:iCs/>
      </w:rPr>
    </w:lvl>
    <w:lvl w:ilvl="1" w:tplc="061C9E6E">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4" w15:restartNumberingAfterBreak="0">
    <w:nsid w:val="5BB045D0"/>
    <w:multiLevelType w:val="hybridMultilevel"/>
    <w:tmpl w:val="7BF00F2A"/>
    <w:lvl w:ilvl="0" w:tplc="FFFFFFFF">
      <w:start w:val="1"/>
      <w:numFmt w:val="decimal"/>
      <w:lvlText w:val="%1."/>
      <w:lvlJc w:val="left"/>
      <w:pPr>
        <w:ind w:left="720" w:hanging="360"/>
      </w:pPr>
    </w:lvl>
    <w:lvl w:ilvl="1" w:tplc="02A4BC10">
      <w:start w:val="1"/>
      <w:numFmt w:val="lowerLetter"/>
      <w:lvlText w:val="(%2)"/>
      <w:lvlJc w:val="left"/>
      <w:pPr>
        <w:ind w:left="1710" w:hanging="63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5D14078F"/>
    <w:multiLevelType w:val="hybridMultilevel"/>
    <w:tmpl w:val="462C99B2"/>
    <w:lvl w:ilvl="0" w:tplc="D75C943A">
      <w:start w:val="2"/>
      <w:numFmt w:val="bullet"/>
      <w:lvlText w:val="-"/>
      <w:lvlJc w:val="left"/>
      <w:pPr>
        <w:ind w:left="360" w:hanging="360"/>
      </w:pPr>
      <w:rPr>
        <w:rFonts w:ascii="Univers LT OMV 55 Roman" w:eastAsia="Times New Roman" w:hAnsi="Univers LT OMV 55 Roman" w:cs="Times New Roman"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6A3EE7"/>
    <w:multiLevelType w:val="hybridMultilevel"/>
    <w:tmpl w:val="DC067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F40ED2"/>
    <w:multiLevelType w:val="hybridMultilevel"/>
    <w:tmpl w:val="8A4AC8DC"/>
    <w:lvl w:ilvl="0" w:tplc="04090017">
      <w:start w:val="1"/>
      <w:numFmt w:val="lowerLetter"/>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8" w15:restartNumberingAfterBreak="0">
    <w:nsid w:val="745A7FB9"/>
    <w:multiLevelType w:val="hybridMultilevel"/>
    <w:tmpl w:val="429A5D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E567A4B"/>
    <w:multiLevelType w:val="hybridMultilevel"/>
    <w:tmpl w:val="8A4AC8DC"/>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num w:numId="1" w16cid:durableId="1286038695">
    <w:abstractNumId w:val="5"/>
  </w:num>
  <w:num w:numId="2" w16cid:durableId="1214266900">
    <w:abstractNumId w:val="0"/>
  </w:num>
  <w:num w:numId="3" w16cid:durableId="613173872">
    <w:abstractNumId w:val="2"/>
  </w:num>
  <w:num w:numId="4" w16cid:durableId="584647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183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73268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213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5371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2947700">
    <w:abstractNumId w:val="8"/>
  </w:num>
  <w:num w:numId="10" w16cid:durableId="1680813815">
    <w:abstractNumId w:val="6"/>
  </w:num>
  <w:num w:numId="11" w16cid:durableId="769932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45"/>
    <w:rsid w:val="00015D4F"/>
    <w:rsid w:val="000A7CE6"/>
    <w:rsid w:val="000D7122"/>
    <w:rsid w:val="000E2418"/>
    <w:rsid w:val="000F382B"/>
    <w:rsid w:val="000F3AAB"/>
    <w:rsid w:val="001560A8"/>
    <w:rsid w:val="001620DD"/>
    <w:rsid w:val="001635DF"/>
    <w:rsid w:val="001B75AB"/>
    <w:rsid w:val="001E1372"/>
    <w:rsid w:val="001F4F88"/>
    <w:rsid w:val="00293DDA"/>
    <w:rsid w:val="002A34BD"/>
    <w:rsid w:val="002A3D9F"/>
    <w:rsid w:val="002B5418"/>
    <w:rsid w:val="00307732"/>
    <w:rsid w:val="0032191F"/>
    <w:rsid w:val="00373949"/>
    <w:rsid w:val="003C41B1"/>
    <w:rsid w:val="003E2165"/>
    <w:rsid w:val="00446938"/>
    <w:rsid w:val="00473C5C"/>
    <w:rsid w:val="0049029E"/>
    <w:rsid w:val="004C7F67"/>
    <w:rsid w:val="00502F48"/>
    <w:rsid w:val="005241FE"/>
    <w:rsid w:val="0058636E"/>
    <w:rsid w:val="005C09AE"/>
    <w:rsid w:val="005E785A"/>
    <w:rsid w:val="00627F7A"/>
    <w:rsid w:val="00641E01"/>
    <w:rsid w:val="006700A0"/>
    <w:rsid w:val="0067370B"/>
    <w:rsid w:val="00696902"/>
    <w:rsid w:val="00701644"/>
    <w:rsid w:val="007019A8"/>
    <w:rsid w:val="0076715F"/>
    <w:rsid w:val="00775BAE"/>
    <w:rsid w:val="007B5C49"/>
    <w:rsid w:val="007D23F4"/>
    <w:rsid w:val="007D2B9B"/>
    <w:rsid w:val="007F75EE"/>
    <w:rsid w:val="00820E25"/>
    <w:rsid w:val="0086361B"/>
    <w:rsid w:val="008659E3"/>
    <w:rsid w:val="0086741F"/>
    <w:rsid w:val="0087124A"/>
    <w:rsid w:val="008C65B9"/>
    <w:rsid w:val="008F0F67"/>
    <w:rsid w:val="00926006"/>
    <w:rsid w:val="009A577F"/>
    <w:rsid w:val="009B3EF6"/>
    <w:rsid w:val="00AA43CD"/>
    <w:rsid w:val="00AD4181"/>
    <w:rsid w:val="00B04CFC"/>
    <w:rsid w:val="00B67222"/>
    <w:rsid w:val="00BB4411"/>
    <w:rsid w:val="00BF1327"/>
    <w:rsid w:val="00CF3839"/>
    <w:rsid w:val="00D03530"/>
    <w:rsid w:val="00D31503"/>
    <w:rsid w:val="00D51656"/>
    <w:rsid w:val="00D950E8"/>
    <w:rsid w:val="00E04225"/>
    <w:rsid w:val="00EA36E5"/>
    <w:rsid w:val="00EC5508"/>
    <w:rsid w:val="00EC60A8"/>
    <w:rsid w:val="00F03B45"/>
    <w:rsid w:val="00F47E84"/>
    <w:rsid w:val="00F535ED"/>
    <w:rsid w:val="00FA21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DCBB"/>
  <w15:chartTrackingRefBased/>
  <w15:docId w15:val="{34D2A324-62C4-41B5-90B4-FA249236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700A0"/>
    <w:pPr>
      <w:spacing w:after="0" w:line="240" w:lineRule="auto"/>
    </w:pPr>
  </w:style>
  <w:style w:type="paragraph" w:styleId="NormalWeb">
    <w:name w:val="Normal (Web)"/>
    <w:basedOn w:val="Normal"/>
    <w:rsid w:val="00641E01"/>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ListParagraph">
    <w:name w:val="List Paragraph"/>
    <w:basedOn w:val="Normal"/>
    <w:uiPriority w:val="34"/>
    <w:qFormat/>
    <w:rsid w:val="00641E01"/>
    <w:pPr>
      <w:ind w:left="720"/>
      <w:contextualSpacing/>
    </w:pPr>
  </w:style>
  <w:style w:type="paragraph" w:styleId="BodyText">
    <w:name w:val="Body Text"/>
    <w:basedOn w:val="Normal"/>
    <w:link w:val="BodyTextChar"/>
    <w:semiHidden/>
    <w:unhideWhenUsed/>
    <w:rsid w:val="00B04CFC"/>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B04CFC"/>
    <w:rPr>
      <w:rFonts w:ascii="Times New Roman" w:eastAsia="Times New Roman" w:hAnsi="Times New Roman" w:cs="Times New Roman"/>
      <w:sz w:val="24"/>
      <w:szCs w:val="24"/>
      <w:lang w:val="en-GB"/>
    </w:rPr>
  </w:style>
  <w:style w:type="paragraph" w:customStyle="1" w:styleId="Default">
    <w:name w:val="Default"/>
    <w:rsid w:val="00B04CF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A36E5"/>
    <w:rPr>
      <w:color w:val="0563C1" w:themeColor="hyperlink"/>
      <w:u w:val="single"/>
    </w:rPr>
  </w:style>
  <w:style w:type="paragraph" w:styleId="Footer">
    <w:name w:val="footer"/>
    <w:basedOn w:val="Normal"/>
    <w:link w:val="FooterChar"/>
    <w:uiPriority w:val="99"/>
    <w:unhideWhenUsed/>
    <w:rsid w:val="00701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A8"/>
  </w:style>
  <w:style w:type="paragraph" w:styleId="Header">
    <w:name w:val="header"/>
    <w:basedOn w:val="Normal"/>
    <w:link w:val="HeaderChar"/>
    <w:uiPriority w:val="99"/>
    <w:unhideWhenUsed/>
    <w:rsid w:val="00FA2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3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3AAB0BCDFC54999C7621F840B1A9E" ma:contentTypeVersion="9" ma:contentTypeDescription="Create a new document." ma:contentTypeScope="" ma:versionID="399d48f3f041611975c00715a789b3bb">
  <xsd:schema xmlns:xsd="http://www.w3.org/2001/XMLSchema" xmlns:xs="http://www.w3.org/2001/XMLSchema" xmlns:p="http://schemas.microsoft.com/office/2006/metadata/properties" xmlns:ns2="56d62717-cf47-4b10-a356-a91de23e5093" xmlns:ns3="a6b35621-3e7d-4342-9d7d-dfa4be2ee2db" targetNamespace="http://schemas.microsoft.com/office/2006/metadata/properties" ma:root="true" ma:fieldsID="d0f87562619eb7c894ae38ff58d5e77a" ns2:_="" ns3:_="">
    <xsd:import namespace="56d62717-cf47-4b10-a356-a91de23e5093"/>
    <xsd:import namespace="a6b35621-3e7d-4342-9d7d-dfa4be2ee2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62717-cf47-4b10-a356-a91de23e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90f5fe-6a26-491d-8c4e-bf072008347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35621-3e7d-4342-9d7d-dfa4be2ee2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8e7bb7-8460-4db2-b04d-e728ba510597}" ma:internalName="TaxCatchAll" ma:showField="CatchAllData" ma:web="a6b35621-3e7d-4342-9d7d-dfa4be2ee2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1FB4C-0021-4F16-8136-52A90F783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62717-cf47-4b10-a356-a91de23e5093"/>
    <ds:schemaRef ds:uri="a6b35621-3e7d-4342-9d7d-dfa4be2ee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6F70F-09A0-4458-87C5-5CA576B4754D}">
  <ds:schemaRefs>
    <ds:schemaRef ds:uri="http://schemas.openxmlformats.org/officeDocument/2006/bibliography"/>
  </ds:schemaRefs>
</ds:datastoreItem>
</file>

<file path=customXml/itemProps3.xml><?xml version="1.0" encoding="utf-8"?>
<ds:datastoreItem xmlns:ds="http://schemas.openxmlformats.org/officeDocument/2006/customXml" ds:itemID="{2D981412-3975-4EED-8D68-7B9B12946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Frandes</dc:creator>
  <cp:keywords/>
  <dc:description/>
  <cp:lastModifiedBy>Ciprian Frandes</cp:lastModifiedBy>
  <cp:revision>64</cp:revision>
  <dcterms:created xsi:type="dcterms:W3CDTF">2022-01-26T08:38:00Z</dcterms:created>
  <dcterms:modified xsi:type="dcterms:W3CDTF">2024-03-12T11:11:00Z</dcterms:modified>
</cp:coreProperties>
</file>